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Klimaatactie-simulatie: Klimaathaviken</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fr-BE" w:eastAsia="fr-BE"/>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fr-BE" w:eastAsia="fr-BE"/>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Aan:</w:t>
      </w:r>
      <w:r>
        <w:rPr>
          <w:color w:val="000000"/>
        </w:rPr>
        <w:tab/>
        <w:t>de hoofdonderhandelaars van de groep Klimaathaviken</w:t>
      </w:r>
    </w:p>
    <w:p w:rsidR="00EC0416" w:rsidRPr="001132FC" w:rsidRDefault="00AA379D" w:rsidP="00B82371">
      <w:pPr>
        <w:pStyle w:val="Bodytext40"/>
        <w:shd w:val="clear" w:color="auto" w:fill="auto"/>
        <w:tabs>
          <w:tab w:val="left" w:pos="1442"/>
        </w:tabs>
        <w:spacing w:after="120" w:line="276" w:lineRule="auto"/>
      </w:pPr>
      <w:r>
        <w:rPr>
          <w:color w:val="000000"/>
        </w:rPr>
        <w:t>Betreft:</w:t>
      </w:r>
      <w:r>
        <w:rPr>
          <w:color w:val="000000"/>
        </w:rPr>
        <w:tab/>
        <w:t>voorbereiding van de klimaatactietop</w:t>
      </w:r>
    </w:p>
    <w:p w:rsidR="00EC0416" w:rsidRPr="001132FC" w:rsidRDefault="00AA379D" w:rsidP="00B82371">
      <w:pPr>
        <w:pStyle w:val="Bodytext20"/>
        <w:shd w:val="clear" w:color="auto" w:fill="auto"/>
        <w:spacing w:before="0" w:line="276" w:lineRule="auto"/>
        <w:ind w:firstLine="0"/>
      </w:pPr>
      <w:r>
        <w:rPr>
          <w:color w:val="000000"/>
        </w:rPr>
        <w:t xml:space="preserve">Welkom op de klimaatactietop. De secretaris-generaal van de VN heeft jullie uitgenodigd om samen met de leiders van alle andere belanghebbende partijen oplossingen uit te werken voor de bestrijding van de klimaatverandering. </w:t>
      </w:r>
      <w:r>
        <w:t xml:space="preserve">In zijn uitnodiging </w:t>
      </w:r>
      <w:r>
        <w:rPr>
          <w:rStyle w:val="Bodytext21"/>
        </w:rPr>
        <w:t>merkte</w:t>
      </w:r>
      <w:r>
        <w:t xml:space="preserve"> de secretaris-generaal het volgende op: “De klimaatnoodtoestand is een race die we aan het verliezen zijn, maar we kunnen deze race ook winnen... </w:t>
      </w:r>
      <w:r>
        <w:rPr>
          <w:color w:val="000000"/>
        </w:rPr>
        <w:t>Gerenommeerde wetenschappers vertellen ons dat elke temperatuurstijging boven de 1,5°C zal leiden tot grote en onomkeerbare schade aan onze ecosystemen ... Maar de wetenschap vertelt ons ook dat het nog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EC0416" w:rsidRPr="001132FC" w:rsidRDefault="00AA379D" w:rsidP="00B82371">
      <w:pPr>
        <w:pStyle w:val="Bodytext20"/>
        <w:shd w:val="clear" w:color="auto" w:fill="auto"/>
        <w:spacing w:before="0" w:line="276" w:lineRule="auto"/>
        <w:ind w:firstLine="0"/>
      </w:pPr>
      <w:r>
        <w:rPr>
          <w:color w:val="000000"/>
        </w:rPr>
        <w:t xml:space="preserve">Het doel van de top is een plan op te stellen om de opwarming van de aarde te beperken tot minder dan 2°C [3,6°F] boven het pre-industriële niveau, en te streven naar 1,5°C [2,7°F], overeenkomstig de internationale doelstellingen die formeel zijn erkend in de klimaatovereenkomst van Parijs. </w:t>
      </w:r>
      <w:r>
        <w:t xml:space="preserve">Het </w:t>
      </w:r>
      <w:r>
        <w:rPr>
          <w:rStyle w:val="Bodytext21"/>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EC0416" w:rsidRPr="001132FC" w:rsidRDefault="00AA379D" w:rsidP="00B82371">
      <w:pPr>
        <w:pStyle w:val="Bodytext20"/>
        <w:shd w:val="clear" w:color="auto" w:fill="auto"/>
        <w:spacing w:before="0" w:after="140" w:line="276" w:lineRule="auto"/>
        <w:ind w:firstLine="0"/>
      </w:pPr>
      <w:r>
        <w:rPr>
          <w:color w:val="000000"/>
        </w:rPr>
        <w:t xml:space="preserve">Jullie groep bestaat onder meer uit grote gevestigde milieuorganisaties en nieuwere, door jongeren geleide bewegingen, die samen wereldwijd miljoenen mensen op de been hebben gebracht. Jullie groep omvat ook vertegenwoordigers van de meest kwetsbare gemeenschappen, zoals kleine eilandstaten en inheemse volkeren die zich in de frontlinie van de klimaatverandering bevinden en waarvan het vermogen om te gedijen of zelfs te overleven afhangt van de beperking van de opwarming van de aarde tot 1,5°C boven het pre-industriële niveau. Jullie nemen het op voor de toekomst, de armen en de meest kwetsbaren in de </w:t>
      </w:r>
      <w:proofErr w:type="gramStart"/>
      <w:r>
        <w:rPr>
          <w:color w:val="000000"/>
        </w:rPr>
        <w:t>wereld</w:t>
      </w:r>
      <w:proofErr w:type="gramEnd"/>
      <w:r>
        <w:rPr>
          <w:color w:val="000000"/>
        </w:rPr>
        <w:t>.</w:t>
      </w:r>
    </w:p>
    <w:p w:rsidR="00EC0416" w:rsidRDefault="00AA379D" w:rsidP="00B82371">
      <w:pPr>
        <w:pStyle w:val="Bodytext20"/>
        <w:shd w:val="clear" w:color="auto" w:fill="auto"/>
        <w:spacing w:before="0" w:after="100" w:line="276" w:lineRule="auto"/>
        <w:ind w:firstLine="0"/>
        <w:rPr>
          <w:color w:val="000000"/>
        </w:rPr>
      </w:pPr>
      <w:r>
        <w:rPr>
          <w:color w:val="000000"/>
        </w:rPr>
        <w:t>De beleidsprioriteiten van jullie groep worden hieronder opgesomd. Jullie kunnen echter elke andere beschikbare beleidsmaatregel voorstellen of blokkeren.</w:t>
      </w:r>
    </w:p>
    <w:p w:rsidR="00F64CF6" w:rsidRPr="001132FC" w:rsidRDefault="00F64CF6" w:rsidP="00C33321">
      <w:pPr>
        <w:pStyle w:val="Bodytext20"/>
        <w:shd w:val="clear" w:color="auto" w:fill="auto"/>
        <w:spacing w:before="0" w:after="100" w:line="276" w:lineRule="auto"/>
        <w:ind w:firstLine="0"/>
      </w:pPr>
    </w:p>
    <w:p w:rsidR="00EC0416" w:rsidRPr="001132FC" w:rsidRDefault="00AA379D" w:rsidP="00C33321">
      <w:pPr>
        <w:pStyle w:val="Bodytext20"/>
        <w:numPr>
          <w:ilvl w:val="0"/>
          <w:numId w:val="1"/>
        </w:numPr>
        <w:shd w:val="clear" w:color="auto" w:fill="auto"/>
        <w:spacing w:before="0" w:line="276" w:lineRule="auto"/>
        <w:ind w:left="400"/>
      </w:pPr>
      <w:r>
        <w:rPr>
          <w:rStyle w:val="Bodytext2Bold"/>
        </w:rPr>
        <w:t xml:space="preserve">De temperatuurstijging beperken tot beduidend minder dan 2°C en zo dicht mogelijk bij 1,5°C. </w:t>
      </w:r>
      <w:r>
        <w:rPr>
          <w:color w:val="000000"/>
        </w:rPr>
        <w:t>Een stijging van 2°C zal nog steeds ernstige gevolgen hebben voor de jongeren van vandaag en voor kwetsbare bevolkingsgroepen, die het minst tot de klimaatverandering hebben bijgedragen maar het meest te lijden zullen hebben onder extreme weersomstandigheden en de daarmee verband houdende overstromingen, perioden van droogte, hittegolven en volksgezondheidscrises. Door zo snel mogelijk een zo krachtig mogelijke overeenkomst te bereiken om de uitstoot van broeikasgassen terug te dringen, zullen de gevolgen voor de mensen in ontwikkelingslanden, de inheemse bevolkingsgroepen, armen en jongeren worden beperkt.</w:t>
      </w:r>
    </w:p>
    <w:p w:rsidR="0073353A" w:rsidRPr="001132FC" w:rsidRDefault="00AA379D" w:rsidP="0073353A">
      <w:pPr>
        <w:pStyle w:val="Bodytext20"/>
        <w:keepNext/>
        <w:keepLines/>
        <w:widowControl/>
        <w:numPr>
          <w:ilvl w:val="0"/>
          <w:numId w:val="1"/>
        </w:numPr>
        <w:shd w:val="clear" w:color="auto" w:fill="auto"/>
        <w:spacing w:before="0" w:line="276" w:lineRule="auto"/>
        <w:ind w:left="403" w:hanging="403"/>
      </w:pPr>
      <w:r>
        <w:rPr>
          <w:rStyle w:val="Bodytext2Bold"/>
        </w:rPr>
        <w:lastRenderedPageBreak/>
        <w:t xml:space="preserve">Zo snel mogelijk 100 % hernieuwbare energie realiseren door middel van een hoge koolstofprijs, subsidies voor hernieuwbare energie en belastingen op fossiele brandstoffen. </w:t>
      </w:r>
      <w:r>
        <w:rPr>
          <w:color w:val="000000"/>
        </w:rPr>
        <w:t xml:space="preserve">De uitstoot van fossiele brandstoffen (steenkool, aardolie, aardgas) levert de grootste bijdrage aan de klimaatverandering. De wereld moet de winning van fossiele brandstoffen onmiddellijk verminderen en de koolstof in de bodem laten zitten. </w:t>
      </w:r>
      <w:r>
        <w:t>Economen zijn het erover eens dat een koolstofprijs die de sociale en milieukosten van CO</w:t>
      </w:r>
      <w:r>
        <w:rPr>
          <w:vertAlign w:val="subscript"/>
        </w:rPr>
        <w:t>2</w:t>
      </w:r>
      <w:r>
        <w:t>-emissies weerspiegelt (ruim 50 dollar per ton CO</w:t>
      </w:r>
      <w:r>
        <w:rPr>
          <w:vertAlign w:val="subscript"/>
        </w:rPr>
        <w:t>2</w:t>
      </w:r>
      <w:r>
        <w:t>) de beste manier is om de wereldwijde uitstoot van broeikasgassen terug te dringen.</w:t>
      </w:r>
      <w:r>
        <w:rPr>
          <w:color w:val="000000"/>
        </w:rPr>
        <w:t xml:space="preserve"> Jullie zouden ook kunnen denken aan subsidies voor hernieuwbare energie en/of het belasten en reguleren van kolen, olie en aardgas.</w:t>
      </w:r>
      <w:bookmarkStart w:id="1" w:name="_GoBack"/>
      <w:bookmarkEnd w:id="1"/>
    </w:p>
    <w:p w:rsidR="00EC0416" w:rsidRPr="0037523C" w:rsidRDefault="00AA379D" w:rsidP="00C33321">
      <w:pPr>
        <w:pStyle w:val="Bodytext20"/>
        <w:numPr>
          <w:ilvl w:val="0"/>
          <w:numId w:val="1"/>
        </w:numPr>
        <w:shd w:val="clear" w:color="auto" w:fill="auto"/>
        <w:spacing w:before="0" w:after="610" w:line="276" w:lineRule="auto"/>
        <w:ind w:left="400"/>
      </w:pPr>
      <w:r>
        <w:rPr>
          <w:rStyle w:val="Bodytext2Bold"/>
        </w:rPr>
        <w:t xml:space="preserve">De ontbossing tegengaan. </w:t>
      </w:r>
      <w:r>
        <w:rPr>
          <w:color w:val="000000"/>
        </w:rPr>
        <w:t>De bossen zijn wereldwijd ernstig in verval. Ontbossing is momenteel verantwoordelijk voor ongeveer 15 % van de uitstoot van broeikasgassen. Neem maatregelen om de resterende bossen en de mensen die er wonen of er afhankelijk van zijn, met inbegrip van de inheemse bevolking, te beschermen. De bescherming van bossen is ook van essentieel belang voor de zoetwatervoorraden, de natuurlijke hulpbronnen en de biodiversiteit.</w:t>
      </w:r>
    </w:p>
    <w:p w:rsidR="00EC0416" w:rsidRPr="0037523C" w:rsidRDefault="00AA379D" w:rsidP="00C33321">
      <w:pPr>
        <w:pStyle w:val="Bodytext20"/>
        <w:numPr>
          <w:ilvl w:val="0"/>
          <w:numId w:val="1"/>
        </w:numPr>
        <w:shd w:val="clear" w:color="auto" w:fill="auto"/>
        <w:spacing w:before="0" w:line="276" w:lineRule="auto"/>
        <w:ind w:left="400"/>
      </w:pPr>
      <w:r>
        <w:rPr>
          <w:rStyle w:val="Bodytext2Bold"/>
        </w:rPr>
        <w:t xml:space="preserve">Oppassen voor inspanningen die een bedreiging vormen voor de wereldwijde voedselproductie en landrechten. </w:t>
      </w:r>
      <w:r>
        <w:rPr>
          <w:color w:val="000000"/>
        </w:rPr>
        <w:t xml:space="preserve">Een grootschalige uitvoering van beleid op het gebied van bebossing, biobrandstoffen en methoden voor koolstofverwijdering, zoals bio-energie met </w:t>
      </w:r>
      <w:proofErr w:type="spellStart"/>
      <w:r>
        <w:rPr>
          <w:color w:val="000000"/>
        </w:rPr>
        <w:t>koolstofafvang</w:t>
      </w:r>
      <w:proofErr w:type="spellEnd"/>
      <w:r>
        <w:rPr>
          <w:color w:val="000000"/>
        </w:rPr>
        <w:t xml:space="preserve"> en -opslag (BECCS), neemt grote stukken land in beslag, waardoor de voedselproductie in gevaar kan komen en inheemse en arme mensen verdreven kunnen worden. Hou voor iedere beleidsmaatregel rekening met de hoeveelheid land die nodig is.</w:t>
      </w:r>
    </w:p>
    <w:p w:rsidR="00EC0416" w:rsidRPr="00C33321" w:rsidRDefault="00AA379D" w:rsidP="00C33321">
      <w:pPr>
        <w:pStyle w:val="Bodytext20"/>
        <w:numPr>
          <w:ilvl w:val="0"/>
          <w:numId w:val="1"/>
        </w:numPr>
        <w:shd w:val="clear" w:color="auto" w:fill="auto"/>
        <w:spacing w:before="0" w:after="140" w:line="276" w:lineRule="auto"/>
        <w:ind w:left="400"/>
      </w:pPr>
      <w:r>
        <w:rPr>
          <w:rStyle w:val="Bodytext2Bold"/>
        </w:rPr>
        <w:t xml:space="preserve">Bij de andere groepen lobbyen voor krachtdadige actie. </w:t>
      </w:r>
      <w:r>
        <w:rPr>
          <w:color w:val="000000"/>
        </w:rPr>
        <w:t xml:space="preserve">Als onafhankelijke activisten zijn jullie niet gebonden aan gevestigde belangen. Maar vergeleken met overheden en de </w:t>
      </w:r>
      <w:proofErr w:type="spellStart"/>
      <w:r>
        <w:rPr>
          <w:color w:val="000000"/>
        </w:rPr>
        <w:t>fossielebrandstofindustrie</w:t>
      </w:r>
      <w:proofErr w:type="spellEnd"/>
      <w:r>
        <w:rPr>
          <w:color w:val="000000"/>
        </w:rPr>
        <w:t xml:space="preserve"> hebben jullie niet veel macht. De </w:t>
      </w:r>
      <w:proofErr w:type="spellStart"/>
      <w:r>
        <w:rPr>
          <w:color w:val="000000"/>
        </w:rPr>
        <w:t>fossielebrandstofindustrie</w:t>
      </w:r>
      <w:proofErr w:type="spellEnd"/>
      <w:r>
        <w:rPr>
          <w:color w:val="000000"/>
        </w:rPr>
        <w:t xml:space="preserve"> probeert jullie en de mensen die jullie vertegenwoordigen af te schilderen als naïef en slecht geïnformeerd. </w:t>
      </w:r>
      <w:r>
        <w:t xml:space="preserve">Zij zullen trachten de klimaatwetenschap in twijfel te trekken door de nadruk te leggen op de onzekerheid, volgens hetzelfde recept dat de tabaksindustrie jarenlang met succes heeft gebruikt om </w:t>
      </w:r>
      <w:r>
        <w:rPr>
          <w:rStyle w:val="Bodytext21"/>
        </w:rPr>
        <w:t>het publiek in verwarring te brengen en actie uit te stellen</w:t>
      </w:r>
      <w:r>
        <w:t>.</w:t>
      </w:r>
      <w:r>
        <w:rPr>
          <w:color w:val="000000"/>
        </w:rPr>
        <w:t xml:space="preserve"> Gebruik alle geweldloze tactieken die jullie gepast achten om de aandacht van de machthebbers te trekken. Hou vreedzame betogingen en vurige toespraken. Hou de moraal hoog en herinner de mensen aan waar jullie voor vechten: een wereld waarin ieder kind en iedere persoon kan gedijen.</w:t>
      </w:r>
    </w:p>
    <w:p w:rsidR="00C33321" w:rsidRPr="0037523C" w:rsidRDefault="00C33321" w:rsidP="00C33321">
      <w:pPr>
        <w:pStyle w:val="Bodytext20"/>
        <w:shd w:val="clear" w:color="auto" w:fill="auto"/>
        <w:spacing w:before="0" w:after="140" w:line="276" w:lineRule="auto"/>
        <w:ind w:firstLine="0"/>
      </w:pPr>
    </w:p>
    <w:p w:rsidR="00EC0416" w:rsidRPr="0037523C" w:rsidRDefault="00AA379D">
      <w:pPr>
        <w:pStyle w:val="Bodytext60"/>
        <w:shd w:val="clear" w:color="auto" w:fill="auto"/>
        <w:spacing w:before="0" w:after="100"/>
      </w:pPr>
      <w:r>
        <w:rPr>
          <w:color w:val="000000"/>
        </w:rPr>
        <w:t>Aanvullende overwegingen</w:t>
      </w:r>
    </w:p>
    <w:p w:rsidR="00EC0416" w:rsidRDefault="00AA379D">
      <w:pPr>
        <w:pStyle w:val="Bodytext20"/>
        <w:shd w:val="clear" w:color="auto" w:fill="auto"/>
        <w:spacing w:before="0"/>
        <w:ind w:firstLine="0"/>
        <w:rPr>
          <w:color w:val="000000"/>
        </w:rPr>
      </w:pPr>
      <w:r>
        <w:rPr>
          <w:color w:val="000000"/>
        </w:rPr>
        <w:t>De klimaatbeweging wordt alsmaar groter. De wetenschappelijke consensus is duidelijk: de klimaatverandering is nu aan de gang en wordt in de eerste plaats veroorzaakt door menselijke activiteiten. Als ze niet binnen de perken wordt gehouden zal de klimaatverandering verwoestende gevolgen hebben voor onze welvaart, gezondheid en levens. Jongeren hebben het meeste te verliezen. Ze zijn geboren in een fossiele-brandstoffeneconomie die zij zelf niet hebben opgebouwd maar die hen dreigt op te zadelen met een verarmde en gevaarlijke wereld, een wereld zonder de rijke diversiteit aan planten en dieren die de vorige generaties hebben gekend. De klimaatverandering is in wezen een kwestie van rechtvaardigheid. Hoe sneller alle bedrijven, consumenten en landen hun uitstoot verminderen, hoe waarschijnlijker het is dat we allemaal slagen, en hoe gemakkelijker de transitie zal zijn.</w:t>
      </w:r>
    </w:p>
    <w:p w:rsidR="00C33321" w:rsidRPr="0037523C" w:rsidRDefault="00C33321">
      <w:pPr>
        <w:pStyle w:val="Bodytext20"/>
        <w:shd w:val="clear" w:color="auto" w:fill="auto"/>
        <w:spacing w:before="0"/>
        <w:ind w:firstLine="0"/>
      </w:pPr>
    </w:p>
    <w:p w:rsidR="00EC0416" w:rsidRPr="0037523C" w:rsidRDefault="00AA379D">
      <w:pPr>
        <w:pStyle w:val="Bodytext20"/>
        <w:shd w:val="clear" w:color="auto" w:fill="auto"/>
        <w:spacing w:before="0"/>
        <w:ind w:firstLine="0"/>
      </w:pPr>
      <w:r>
        <w:rPr>
          <w:color w:val="000000"/>
        </w:rPr>
        <w:t xml:space="preserve">Een terugdringing van de uitstoot van broeikasgassen zal een betere volksgezondheid en sociale voordelen opleveren, waaronder een betere lucht- en waterkwaliteit, groenere steden, energie- en voedselzekerheid, een betere gezondheid, nieuwe banen en een grotere veerkracht. Indien de opwarming wordt beperkt tot 1,5°C in plaats van 2°C zouden meer dan 100 miljoen mensen worden gered van watertekorten, zouden tot 2 miljard mensen worden gered van gevaarlijke hittegolven en zouden veel plant- en diersoorten niet meer met uitsterving worden bedreigd. De maatregelen om deze klimaatresultaten te bereiken zouden wereldwijd meer dan 20 biljoen dollar aan voordelen opleveren en tegelijkertijd de wereldwijde </w:t>
      </w:r>
      <w:r>
        <w:rPr>
          <w:color w:val="000000"/>
        </w:rPr>
        <w:lastRenderedPageBreak/>
        <w:t xml:space="preserve">economische ongelijkheid verminderen. </w:t>
      </w:r>
      <w:r>
        <w:t>De Intergouvernementele Werkgroep inzake klimaatverandering (IPCC) maakt duidelijk dat een dergelijke transformatie “</w:t>
      </w:r>
      <w:r>
        <w:rPr>
          <w:rStyle w:val="Bodytext21"/>
        </w:rPr>
        <w:t>mogelijk is binnen de wetten van de fysica en chemie</w:t>
      </w:r>
      <w:r>
        <w:t>” en beschrijft scenario’s om dit doel te bereiken met de technologieën van vandaag (</w:t>
      </w:r>
      <w:hyperlink r:id="rId9" w:history="1">
        <w:r>
          <w:rPr>
            <w:rStyle w:val="Bodytext21"/>
          </w:rPr>
          <w:t>https://www.ipcc.ch/sr15/</w:t>
        </w:r>
      </w:hyperlink>
      <w:r w:rsidR="00F64CF6">
        <w:t>)</w:t>
      </w:r>
      <w:r>
        <w:t>.</w:t>
      </w:r>
    </w:p>
    <w:p w:rsidR="00EC0416" w:rsidRPr="0037523C" w:rsidRDefault="00AA379D">
      <w:pPr>
        <w:pStyle w:val="Bodytext20"/>
        <w:shd w:val="clear" w:color="auto" w:fill="auto"/>
        <w:spacing w:before="0" w:after="140"/>
        <w:ind w:firstLine="0"/>
      </w:pPr>
      <w:r>
        <w:rPr>
          <w:color w:val="000000"/>
        </w:rPr>
        <w:t>De gevolgen van de klimaatverandering zullen niet uniform zijn. Het grote onrecht is dat de mensen die het minst hebben bijgedragen aan de opwarming van de aarde, het meest te lijden zullen hebben en de minste middelen en infrastructuur zullen hebben om zich aan te passen. De meest kwetsbare regio’s van de wereld zijn onder meer Afrika ten zuiden van de Sahara, Zuid- en Zuidoost-Azië, Latijns-Amerika en de eilandstaten in de Stille Oceaan en de rest van de wereld. Veel ontwikkelingslanden zijn sterk afhankelijk van klimaatgevoelige sectoren zoals landbouw, bosbouw en toerisme. Ook binnen de ontwikkelde landen worden armen, landbouwers en andere kwetsbare bevolkingsgroepen het zwaarst getroffen door de gevolgen van de klimaatverandering.</w:t>
      </w:r>
    </w:p>
    <w:p w:rsidR="00EC0416" w:rsidRPr="0037523C" w:rsidRDefault="00AA379D">
      <w:pPr>
        <w:pStyle w:val="Bodytext20"/>
        <w:shd w:val="clear" w:color="auto" w:fill="auto"/>
        <w:spacing w:before="0" w:after="0" w:line="244" w:lineRule="exact"/>
        <w:ind w:firstLine="0"/>
      </w:pPr>
      <w:r>
        <w:rPr>
          <w:color w:val="000000"/>
        </w:rPr>
        <w:t>De wereld staat voor een uitdaging van ongekende omvang. Veel succes. De toekomst ligt in jullie handen.</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Ontwikkeld door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en </w:t>
    </w:r>
    <w:proofErr w:type="spellStart"/>
    <w:r>
      <w:rPr>
        <w:i/>
        <w:sz w:val="18"/>
        <w:szCs w:val="18"/>
      </w:rPr>
      <w:t>UMAS’s</w:t>
    </w:r>
    <w:proofErr w:type="spellEnd"/>
    <w:r>
      <w:rPr>
        <w:i/>
        <w:sz w:val="18"/>
        <w:szCs w:val="18"/>
      </w:rPr>
      <w:t xml:space="preserve"> Lowell </w:t>
    </w:r>
    <w:proofErr w:type="spellStart"/>
    <w:r>
      <w:rPr>
        <w:i/>
        <w:sz w:val="18"/>
        <w:szCs w:val="18"/>
      </w:rPr>
      <w:t>Climate</w:t>
    </w:r>
    <w:proofErr w:type="spellEnd"/>
    <w:r>
      <w:rPr>
        <w:i/>
        <w:sz w:val="18"/>
        <w:szCs w:val="18"/>
      </w:rPr>
      <w:t xml:space="preserve"> Change </w:t>
    </w:r>
    <w:proofErr w:type="spellStart"/>
    <w:r>
      <w:rPr>
        <w:i/>
        <w:sz w:val="18"/>
        <w:szCs w:val="18"/>
      </w:rPr>
      <w:t>Initiative</w:t>
    </w:r>
    <w:proofErr w:type="spellEnd"/>
    <w:r>
      <w:rPr>
        <w:i/>
        <w:sz w:val="18"/>
        <w:szCs w:val="18"/>
      </w:rPr>
      <w:t xml:space="preserve">. Voor het laatst bijgewerkt in september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5B3D13"/>
    <w:rsid w:val="0073353A"/>
    <w:rsid w:val="00844BE1"/>
    <w:rsid w:val="008934BE"/>
    <w:rsid w:val="00A02954"/>
    <w:rsid w:val="00A719DE"/>
    <w:rsid w:val="00AA379D"/>
    <w:rsid w:val="00B82371"/>
    <w:rsid w:val="00C33321"/>
    <w:rsid w:val="00C3451D"/>
    <w:rsid w:val="00D64E5A"/>
    <w:rsid w:val="00DB4BF7"/>
    <w:rsid w:val="00EC0416"/>
    <w:rsid w:val="00F64C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FE2ACF"/>
  <w15:docId w15:val="{0EE490F3-E3E7-4EA9-BC00-4D2EE5421C5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CTJJHAUHWN5E-644613129-1542</_dlc_DocId>
    <_dlc_DocIdUrl xmlns="bfc960a6-20da-4c94-8684-71380fca093b">
      <Url>http://dm2016/eesc/2019/_layouts/15/DocIdRedir.aspx?ID=CTJJHAUHWN5E-644613129-1542</Url>
      <Description>CTJJHAUHWN5E-644613129-1542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2019-12-04T12:00:00+00:00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2FAB8-A569-4A9E-A061-78C5AD38704B}"/>
</file>

<file path=customXml/itemProps2.xml><?xml version="1.0" encoding="utf-8"?>
<ds:datastoreItem xmlns:ds="http://schemas.openxmlformats.org/officeDocument/2006/customXml" ds:itemID="{F89099F5-8E9C-474D-A57F-75EBD7F05800}"/>
</file>

<file path=customXml/itemProps3.xml><?xml version="1.0" encoding="utf-8"?>
<ds:datastoreItem xmlns:ds="http://schemas.openxmlformats.org/officeDocument/2006/customXml" ds:itemID="{418045C6-CE3D-4A29-A9DA-1C43FA3CC0B9}"/>
</file>

<file path=customXml/itemProps4.xml><?xml version="1.0" encoding="utf-8"?>
<ds:datastoreItem xmlns:ds="http://schemas.openxmlformats.org/officeDocument/2006/customXml" ds:itemID="{60AD0F63-C8B8-472C-8159-60F45E06CF1D}"/>
</file>

<file path=docProps/app.xml><?xml version="1.0" encoding="utf-8"?>
<Properties xmlns="http://schemas.openxmlformats.org/officeDocument/2006/extended-properties" xmlns:vt="http://schemas.openxmlformats.org/officeDocument/2006/docPropsVTypes">
  <Template>Styles.dotm</Template>
  <TotalTime>11</TotalTime>
  <Pages>3</Pages>
  <Words>1314</Words>
  <Characters>7227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 - Groep 3 - Groep Klimaathaviken</dc:title>
  <dc:subject>Informatiedocument</dc:subject>
  <cp:keywords>EESC-2019-05163-02-00-INFO-TRA-EN</cp:keywords>
  <dc:description>Rapporteur:  - Original language: EN - Date of document: 04/12/2019 - Date of meeting:  - External documents:  - Administrator: MME LAHOUSSE Chloé</dc:description>
  <cp:lastModifiedBy>Christel Buts</cp:lastModifiedBy>
  <cp:revision>8</cp:revision>
  <dcterms:created xsi:type="dcterms:W3CDTF">2019-11-15T09:21:00Z</dcterms:created>
  <dcterms:modified xsi:type="dcterms:W3CDTF">2019-12-04T13:16:00Z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cb98be6c-6f3b-48fe-80ea-be03e23922a7</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ME|925b3da5-5ac0-4b3c-928c-6ef66a5c9b3c;EN|f2175f21-25d7-44a3-96da-d6a61b075e1b;MK|34ce48bb-063e-4413-a932-50853dc71c5c;SQ|5ac17240-8d11-45ec-9893-659b209d7a00;TR|6e4ededd-04c4-4fa0-94e0-1028050302d5;SR|7f3a1d13-b985-4bfd-981e-afe31377edff;SV|c2ed69e7-a339-43d7-8f22-d93680a92aa0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38;#SV|c2ed69e7-a339-43d7-8f22-d93680a92aa0;#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45;#NL|55c6556c-b4f4-441d-9acf-c498d4f838bd</vt:lpwstr>
  </property>
  <property fmtid="{D5CDD505-2E9C-101B-9397-08002B2CF9AE}" pid="38" name="_docset_NoMedatataSyncRequired">
    <vt:lpwstr>False</vt:lpwstr>
  </property>
</Properties>
</file>